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65.150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B5</w:t>
            </w:r>
            <w:r>
              <w:rPr>
                <w:rFonts w:hint="eastAsia" w:ascii="黑体" w:hAnsi="黑体" w:eastAsia="黑体"/>
                <w:sz w:val="21"/>
                <w:szCs w:val="21"/>
              </w:rPr>
              <w:t>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114300" distR="114300">
                  <wp:extent cx="796290" cy="397510"/>
                  <wp:effectExtent l="0" t="0" r="3810"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0"/>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pPr>
        <w:pStyle w:val="52"/>
        <w:framePr w:w="9639" w:h="624" w:hRule="exact" w:hSpace="181" w:vSpace="181" w:wrap="around" w:vAnchor="text"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en-US" w:eastAsia="zh-CN"/>
        </w:rPr>
        <w:t>1077</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4445"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2"/>
        <w:framePr w:w="9639" w:h="6976" w:hRule="exact" w:hSpace="0" w:vSpace="0" w:wrap="around" w:vAnchor="text"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 大水面生态养殖鲢鳙起捕管理规范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bookmarkStart w:id="10" w:name="OLE_LINK4"/>
      <w:bookmarkStart w:id="11" w:name="OLE_LINK5"/>
      <w:r>
        <w:rPr>
          <w:rFonts w:ascii="黑体" w:hAnsi="黑体" w:eastAsia="黑体"/>
          <w:szCs w:val="28"/>
        </w:rPr>
        <w:fldChar w:fldCharType="begin">
          <w:ffData>
            <w:name w:val="ESTD_NAME"/>
            <w:enabled/>
            <w:calcOnExit w:val="0"/>
            <w:textInput>
              <w:default w:val="点击此处添加标准名称的英文译名"/>
            </w:textInput>
          </w:ffData>
        </w:fldChar>
      </w:r>
      <w:bookmarkStart w:id="12"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harvesting management of Hypophthalmichthys molitrix and Aristichthys nobilis in large water body ecological aquaculture</w:t>
      </w:r>
      <w:r>
        <w:rPr>
          <w:rFonts w:ascii="黑体" w:hAnsi="黑体" w:eastAsia="黑体"/>
          <w:szCs w:val="28"/>
        </w:rPr>
        <w:fldChar w:fldCharType="end"/>
      </w:r>
      <w:bookmarkEnd w:id="12"/>
    </w:p>
    <w:bookmarkEnd w:id="10"/>
    <w:bookmarkEnd w:id="11"/>
    <w:p>
      <w:pPr>
        <w:framePr w:w="9639" w:h="6974" w:hRule="exact" w:wrap="around" w:vAnchor="page" w:hAnchor="page" w:x="1419" w:y="6408" w:anchorLock="1"/>
        <w:spacing w:line="760" w:lineRule="exact"/>
        <w:ind w:left="-1418"/>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bookmarkStart w:id="53" w:name="_GoBack"/>
      <w:bookmarkEnd w:id="53"/>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4445"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1"/>
        <w:spacing w:before="900" w:after="468"/>
      </w:pPr>
      <w:bookmarkStart w:id="20" w:name="BookMark2"/>
      <w:r>
        <w:rPr>
          <w:spacing w:val="320"/>
        </w:rPr>
        <w:t>前</w:t>
      </w:r>
      <w:r>
        <w:t>言</w:t>
      </w:r>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本文件由江苏省骆马湖渔业管理委员会办公室提出并归口。</w:t>
      </w:r>
    </w:p>
    <w:p>
      <w:pPr>
        <w:pStyle w:val="58"/>
        <w:ind w:firstLine="420"/>
      </w:pPr>
      <w:r>
        <w:rPr>
          <w:rFonts w:hint="eastAsia"/>
        </w:rPr>
        <w:t>本文件起草单位：江苏省骆马湖渔业管理委员会办公室。</w:t>
      </w:r>
    </w:p>
    <w:p>
      <w:pPr>
        <w:pStyle w:val="58"/>
        <w:ind w:firstLine="420"/>
      </w:pPr>
      <w:r>
        <w:rPr>
          <w:rFonts w:hint="eastAsia"/>
        </w:rPr>
        <w:t>本文件主要起草人：穆新武、江伟、蔡云海、高军、张伟。</w:t>
      </w:r>
    </w:p>
    <w:p>
      <w:pPr>
        <w:pStyle w:val="58"/>
        <w:ind w:firstLine="420"/>
      </w:pPr>
      <w:r>
        <w:rPr>
          <w:rFonts w:hint="eastAsia"/>
        </w:rPr>
        <w:t>本文件为首次发布。</w:t>
      </w:r>
    </w:p>
    <w:p>
      <w:pPr>
        <w:pStyle w:val="58"/>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720" w:num="1"/>
          <w:formProt w:val="0"/>
          <w:docGrid w:type="lines"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p>
      <w:pPr>
        <w:pStyle w:val="178"/>
        <w:spacing w:before="3" w:beforeLines="1" w:after="686" w:afterLines="220"/>
      </w:pPr>
      <w:bookmarkStart w:id="22" w:name="NEW_STAND_NAME"/>
      <w:r>
        <w:rPr>
          <w:rFonts w:hint="eastAsia"/>
        </w:rPr>
        <w:t>大水面生态养殖鲢鳙起捕管理规范</w:t>
      </w:r>
    </w:p>
    <w:bookmarkEnd w:id="22"/>
    <w:p>
      <w:pPr>
        <w:pStyle w:val="105"/>
        <w:spacing w:before="312" w:after="312"/>
      </w:pPr>
      <w:bookmarkStart w:id="23" w:name="_Toc26718930"/>
      <w:bookmarkStart w:id="24" w:name="_Toc26986530"/>
      <w:bookmarkStart w:id="25" w:name="_Toc97191423"/>
      <w:bookmarkStart w:id="26" w:name="_Toc17233333"/>
      <w:bookmarkStart w:id="27" w:name="_Toc24884218"/>
      <w:bookmarkStart w:id="28" w:name="_Toc17233325"/>
      <w:bookmarkStart w:id="29" w:name="_Toc26986771"/>
      <w:bookmarkStart w:id="30" w:name="_Toc24884211"/>
      <w:bookmarkStart w:id="31" w:name="_Toc26648465"/>
      <w:r>
        <w:rPr>
          <w:rFonts w:hint="eastAsia"/>
        </w:rPr>
        <w:t>范围</w:t>
      </w:r>
      <w:bookmarkEnd w:id="23"/>
      <w:bookmarkEnd w:id="24"/>
      <w:bookmarkEnd w:id="25"/>
      <w:bookmarkEnd w:id="26"/>
      <w:bookmarkEnd w:id="27"/>
      <w:bookmarkEnd w:id="28"/>
      <w:bookmarkEnd w:id="29"/>
      <w:bookmarkEnd w:id="30"/>
      <w:bookmarkEnd w:id="31"/>
    </w:p>
    <w:p>
      <w:pPr>
        <w:pStyle w:val="58"/>
        <w:ind w:firstLine="420"/>
      </w:pPr>
      <w:bookmarkStart w:id="32" w:name="_Toc26648466"/>
      <w:bookmarkStart w:id="33" w:name="_Toc24884212"/>
      <w:bookmarkStart w:id="34" w:name="_Toc17233326"/>
      <w:bookmarkStart w:id="35" w:name="_Toc24884219"/>
      <w:bookmarkStart w:id="36" w:name="_Toc17233334"/>
      <w:r>
        <w:rPr>
          <w:rFonts w:hint="eastAsia"/>
        </w:rPr>
        <w:t>本文件规定了大水面生态养殖鲢鳙起捕的术语和定义、事前准备、现场作业、上岸管理、产品质量管理、记录和评估等管理要点。</w:t>
      </w:r>
    </w:p>
    <w:p>
      <w:pPr>
        <w:pStyle w:val="58"/>
        <w:ind w:firstLine="420"/>
      </w:pPr>
      <w:r>
        <w:rPr>
          <w:rFonts w:hint="eastAsia"/>
        </w:rPr>
        <w:t>本文件适用于宿迁地区大水面生态养殖鲢鳙的起捕。</w:t>
      </w:r>
    </w:p>
    <w:p>
      <w:pPr>
        <w:pStyle w:val="105"/>
        <w:spacing w:before="312" w:after="312"/>
      </w:pPr>
      <w:bookmarkStart w:id="37" w:name="_Toc97191424"/>
      <w:bookmarkStart w:id="38" w:name="_Toc26718931"/>
      <w:bookmarkStart w:id="39" w:name="_Toc26986531"/>
      <w:bookmarkStart w:id="40" w:name="_Toc26986772"/>
      <w:r>
        <w:rPr>
          <w:rFonts w:hint="eastAsia"/>
        </w:rPr>
        <w:t>规范性引用文件</w:t>
      </w:r>
      <w:bookmarkEnd w:id="32"/>
      <w:bookmarkEnd w:id="33"/>
      <w:bookmarkEnd w:id="34"/>
      <w:bookmarkEnd w:id="35"/>
      <w:bookmarkEnd w:id="36"/>
      <w:bookmarkEnd w:id="37"/>
      <w:bookmarkEnd w:id="38"/>
      <w:bookmarkEnd w:id="39"/>
      <w:bookmarkEnd w:id="40"/>
    </w:p>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8"/>
        <w:ind w:firstLine="420"/>
      </w:pPr>
      <w:r>
        <w:rPr>
          <w:rFonts w:hint="eastAsia"/>
        </w:rPr>
        <w:t>GB/T 22213  水产养殖术语</w:t>
      </w:r>
    </w:p>
    <w:p>
      <w:pPr>
        <w:pStyle w:val="58"/>
        <w:ind w:firstLine="420"/>
        <w:rPr>
          <w:rFonts w:hAnsi="宋体" w:cs="宋体"/>
        </w:rPr>
      </w:pPr>
      <w:r>
        <w:rPr>
          <w:rFonts w:hint="eastAsia" w:hAnsi="宋体" w:cs="宋体"/>
        </w:rPr>
        <w:t>GB/T 36192  活水产品运输技术规范</w:t>
      </w:r>
    </w:p>
    <w:p>
      <w:pPr>
        <w:pStyle w:val="58"/>
        <w:ind w:firstLine="420"/>
      </w:pPr>
      <w:r>
        <w:rPr>
          <w:rFonts w:hint="eastAsia"/>
        </w:rPr>
        <w:t>GB/T 42478  农产品生产档案记载规范</w:t>
      </w:r>
      <w:r>
        <w:rPr>
          <w:rFonts w:hint="eastAsia" w:hAnsi="宋体" w:cs="宋体"/>
        </w:rPr>
        <w:t xml:space="preserve"> </w:t>
      </w:r>
    </w:p>
    <w:p>
      <w:pPr>
        <w:pStyle w:val="58"/>
        <w:ind w:firstLine="420"/>
      </w:pPr>
      <w:r>
        <w:rPr>
          <w:rFonts w:hint="eastAsia"/>
        </w:rPr>
        <w:t>NY 5051  无公害食品  淡水养殖用水水质</w:t>
      </w:r>
    </w:p>
    <w:p>
      <w:pPr>
        <w:pStyle w:val="58"/>
        <w:ind w:firstLine="420"/>
      </w:pPr>
      <w:r>
        <w:rPr>
          <w:rFonts w:hint="eastAsia"/>
        </w:rPr>
        <w:t>SC/T 1149  大水面增养殖容量计算方法</w:t>
      </w:r>
    </w:p>
    <w:p>
      <w:pPr>
        <w:pStyle w:val="58"/>
        <w:ind w:firstLine="420"/>
      </w:pPr>
      <w:r>
        <w:rPr>
          <w:rFonts w:hint="eastAsia"/>
        </w:rPr>
        <w:t>SC/T 3043  养殖水产品可追溯标签规程</w:t>
      </w:r>
    </w:p>
    <w:p>
      <w:pPr>
        <w:pStyle w:val="58"/>
        <w:ind w:firstLine="420"/>
      </w:pPr>
      <w:r>
        <w:rPr>
          <w:rFonts w:hint="eastAsia"/>
        </w:rPr>
        <w:t>SC/T 4001  渔具基本术语</w:t>
      </w:r>
    </w:p>
    <w:p>
      <w:pPr>
        <w:pStyle w:val="58"/>
        <w:ind w:firstLine="420"/>
      </w:pPr>
      <w:r>
        <w:rPr>
          <w:rFonts w:hint="eastAsia"/>
        </w:rPr>
        <w:t>SC/T 6030  渔业船舶用设备  技术要求和试验方法</w:t>
      </w:r>
    </w:p>
    <w:p>
      <w:pPr>
        <w:pStyle w:val="105"/>
        <w:spacing w:before="312" w:after="312"/>
      </w:pPr>
      <w:bookmarkStart w:id="41" w:name="_Toc97191425"/>
      <w:r>
        <w:rPr>
          <w:rFonts w:hint="eastAsia"/>
          <w:szCs w:val="21"/>
        </w:rPr>
        <w:t>术语和定义</w:t>
      </w:r>
      <w:bookmarkEnd w:id="41"/>
    </w:p>
    <w:p>
      <w:pPr>
        <w:pStyle w:val="58"/>
        <w:ind w:firstLine="420"/>
      </w:pPr>
      <w:bookmarkStart w:id="42" w:name="_Toc26986532"/>
      <w:bookmarkEnd w:id="42"/>
      <w:r>
        <w:rPr>
          <w:rFonts w:hint="eastAsia"/>
        </w:rPr>
        <w:t>GB/T 22213、SC/T 4001和SC/T 1149界定的以及下列术语和定义适用于</w:t>
      </w:r>
      <w:r>
        <w:t>本文件。</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大水面 large water bodies</w:t>
      </w:r>
    </w:p>
    <w:p>
      <w:pPr>
        <w:pStyle w:val="58"/>
        <w:ind w:firstLine="420"/>
      </w:pPr>
      <w:r>
        <w:rPr>
          <w:rFonts w:hint="eastAsia"/>
        </w:rPr>
        <w:t>湖泊、水库等内陆水体的统称。</w:t>
      </w:r>
    </w:p>
    <w:p>
      <w:pPr>
        <w:pStyle w:val="223"/>
        <w:rPr>
          <w:rFonts w:ascii="黑体" w:hAnsi="黑体" w:eastAsia="黑体"/>
        </w:rPr>
      </w:pPr>
      <w:r>
        <w:rPr>
          <w:rFonts w:ascii="黑体" w:hAnsi="黑体" w:eastAsia="黑体"/>
        </w:rPr>
        <w:br w:type="textWrapping"/>
      </w:r>
      <w:r>
        <w:rPr>
          <w:rFonts w:hint="eastAsia" w:ascii="黑体" w:hAnsi="黑体" w:eastAsia="黑体"/>
        </w:rPr>
        <w:t xml:space="preserve">    生态养殖鲢鳙 ecological aquaculture of Hypophthalmichthys molitrix and Aristichthys nobilis</w:t>
      </w:r>
    </w:p>
    <w:p>
      <w:pPr>
        <w:pStyle w:val="58"/>
        <w:ind w:firstLine="420"/>
      </w:pPr>
      <w:r>
        <w:rPr>
          <w:rFonts w:hint="eastAsia"/>
        </w:rPr>
        <w:t>在大水面通过网箱、网围进行鲢鳙养殖，生长过程不投饵、不用药，利用天然饵料促进鲢鳙生长的一种渔业生产方式。</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起捕 harvesting</w:t>
      </w:r>
    </w:p>
    <w:p>
      <w:pPr>
        <w:pStyle w:val="58"/>
        <w:ind w:firstLine="420"/>
      </w:pPr>
      <w:r>
        <w:rPr>
          <w:rFonts w:hint="eastAsia"/>
        </w:rPr>
        <w:t>对养殖周期结束或达到市场销售规格的人工养殖水产品从养殖环境中捕获的过程。</w:t>
      </w:r>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hint="eastAsia" w:ascii="黑体" w:hAnsi="黑体" w:eastAsia="黑体"/>
        </w:rPr>
        <w:t>抄网 dip net</w:t>
      </w:r>
    </w:p>
    <w:p>
      <w:pPr>
        <w:pStyle w:val="58"/>
        <w:ind w:firstLine="420"/>
      </w:pPr>
      <w:r>
        <w:rPr>
          <w:rFonts w:hint="eastAsia"/>
        </w:rPr>
        <w:t>由网囊撑架和手柄组成，以舀取方式作业的网具。</w:t>
      </w:r>
    </w:p>
    <w:p>
      <w:pPr>
        <w:pStyle w:val="223"/>
        <w:numPr>
          <w:ilvl w:val="2"/>
          <w:numId w:val="0"/>
        </w:numPr>
        <w:rPr>
          <w:rFonts w:ascii="黑体" w:hAnsi="黑体" w:eastAsia="黑体"/>
        </w:rPr>
      </w:pPr>
      <w:r>
        <w:rPr>
          <w:rFonts w:hint="eastAsia" w:ascii="黑体" w:hAnsi="黑体" w:eastAsia="黑体"/>
        </w:rPr>
        <w:t xml:space="preserve">3.5 </w:t>
      </w:r>
    </w:p>
    <w:p>
      <w:pPr>
        <w:pStyle w:val="223"/>
        <w:numPr>
          <w:ilvl w:val="2"/>
          <w:numId w:val="0"/>
        </w:numPr>
        <w:ind w:left="-420" w:leftChars="-200" w:firstLine="840" w:firstLineChars="400"/>
        <w:rPr>
          <w:rFonts w:ascii="黑体" w:hAnsi="黑体" w:eastAsia="黑体"/>
        </w:rPr>
      </w:pPr>
      <w:r>
        <w:rPr>
          <w:rFonts w:hint="eastAsia" w:ascii="黑体" w:hAnsi="黑体" w:eastAsia="黑体"/>
        </w:rPr>
        <w:t>无囊围网 surrounding net without bag</w:t>
      </w:r>
    </w:p>
    <w:p>
      <w:pPr>
        <w:pStyle w:val="58"/>
        <w:ind w:firstLine="420"/>
      </w:pPr>
      <w:r>
        <w:rPr>
          <w:rFonts w:hint="eastAsia"/>
        </w:rPr>
        <w:t>由取鱼部和网翼组成的围网。</w:t>
      </w:r>
    </w:p>
    <w:p>
      <w:pPr>
        <w:pStyle w:val="105"/>
        <w:spacing w:before="312" w:after="312"/>
      </w:pPr>
      <w:r>
        <w:rPr>
          <w:rFonts w:hint="eastAsia"/>
        </w:rPr>
        <w:t>事前准备</w:t>
      </w:r>
    </w:p>
    <w:p>
      <w:pPr>
        <w:pStyle w:val="106"/>
        <w:spacing w:before="156" w:after="156"/>
      </w:pPr>
      <w:r>
        <w:rPr>
          <w:rFonts w:hint="eastAsia"/>
        </w:rPr>
        <w:t>起捕报备</w:t>
      </w:r>
    </w:p>
    <w:p>
      <w:pPr>
        <w:pStyle w:val="58"/>
        <w:ind w:firstLine="420"/>
      </w:pPr>
      <w:r>
        <w:rPr>
          <w:rFonts w:hint="eastAsia"/>
        </w:rPr>
        <w:t>养殖业主应根据起捕需要，确定起捕渔船、渔具的规格和数量，以及作业类型、区域、时限、上岸地点，提前5个工作日向当地渔业行政主管部门报备。</w:t>
      </w:r>
    </w:p>
    <w:p>
      <w:pPr>
        <w:pStyle w:val="106"/>
        <w:spacing w:before="156" w:after="156"/>
      </w:pPr>
      <w:r>
        <w:rPr>
          <w:rFonts w:hint="eastAsia"/>
        </w:rPr>
        <w:t>渔船</w:t>
      </w:r>
    </w:p>
    <w:p>
      <w:pPr>
        <w:pStyle w:val="166"/>
      </w:pPr>
      <w:r>
        <w:rPr>
          <w:rFonts w:hint="eastAsia"/>
        </w:rPr>
        <w:t>应采用具有活水舱或配备增氧设备的渔船。</w:t>
      </w:r>
    </w:p>
    <w:p>
      <w:pPr>
        <w:pStyle w:val="166"/>
      </w:pPr>
      <w:r>
        <w:rPr>
          <w:rFonts w:hint="eastAsia"/>
        </w:rPr>
        <w:t>起捕渔船应统一标识，便于管理。渔业船用设备应符合SC/T 6030的相关要求。</w:t>
      </w:r>
    </w:p>
    <w:p>
      <w:pPr>
        <w:pStyle w:val="106"/>
        <w:spacing w:before="156" w:after="156"/>
      </w:pPr>
      <w:r>
        <w:rPr>
          <w:rFonts w:hint="eastAsia"/>
        </w:rPr>
        <w:t>渔具</w:t>
      </w:r>
    </w:p>
    <w:p>
      <w:pPr>
        <w:pStyle w:val="166"/>
      </w:pPr>
      <w:bookmarkStart w:id="43" w:name="_Toc15158"/>
      <w:r>
        <w:rPr>
          <w:rFonts w:hint="eastAsia"/>
        </w:rPr>
        <w:t>起捕网箱生态养殖鲢鳙时应使用抄网。</w:t>
      </w:r>
      <w:bookmarkEnd w:id="43"/>
    </w:p>
    <w:p>
      <w:pPr>
        <w:pStyle w:val="166"/>
      </w:pPr>
      <w:bookmarkStart w:id="44" w:name="_Toc13081"/>
      <w:r>
        <w:rPr>
          <w:rFonts w:hint="eastAsia"/>
        </w:rPr>
        <w:t>起捕网围生态养殖鲢鳙时应使用抄网、网箱和无囊围网。</w:t>
      </w:r>
      <w:bookmarkEnd w:id="44"/>
    </w:p>
    <w:p>
      <w:pPr>
        <w:pStyle w:val="106"/>
        <w:spacing w:before="156" w:after="156"/>
      </w:pPr>
      <w:r>
        <w:rPr>
          <w:rFonts w:hint="eastAsia"/>
        </w:rPr>
        <w:t>人员</w:t>
      </w:r>
    </w:p>
    <w:p>
      <w:pPr>
        <w:pStyle w:val="58"/>
        <w:ind w:firstLine="420"/>
      </w:pPr>
      <w:r>
        <w:rPr>
          <w:rFonts w:hint="eastAsia"/>
        </w:rPr>
        <w:t>从事起捕作业的人员应具备相应的作业技能和健康的体质。</w:t>
      </w:r>
    </w:p>
    <w:p>
      <w:pPr>
        <w:pStyle w:val="105"/>
        <w:spacing w:before="312" w:after="312"/>
      </w:pPr>
      <w:r>
        <w:rPr>
          <w:rFonts w:hint="eastAsia"/>
        </w:rPr>
        <w:t>现场作业</w:t>
      </w:r>
    </w:p>
    <w:p>
      <w:pPr>
        <w:pStyle w:val="106"/>
        <w:spacing w:before="156" w:after="156"/>
      </w:pPr>
      <w:r>
        <w:rPr>
          <w:rFonts w:hint="eastAsia"/>
        </w:rPr>
        <w:t>起捕时间</w:t>
      </w:r>
    </w:p>
    <w:p>
      <w:pPr>
        <w:pStyle w:val="58"/>
        <w:ind w:firstLine="420"/>
      </w:pPr>
      <w:r>
        <w:rPr>
          <w:rFonts w:hint="eastAsia"/>
        </w:rPr>
        <w:t>应根据鲢鳙的生活习性和市场需求确定作业时间段，需避开禁渔期、高温季节、恶劣天气等时间段。</w:t>
      </w:r>
    </w:p>
    <w:p>
      <w:pPr>
        <w:pStyle w:val="106"/>
        <w:spacing w:before="156" w:after="156"/>
      </w:pPr>
      <w:r>
        <w:rPr>
          <w:rFonts w:hint="eastAsia"/>
        </w:rPr>
        <w:t>起捕方法</w:t>
      </w:r>
    </w:p>
    <w:p>
      <w:pPr>
        <w:pStyle w:val="166"/>
      </w:pPr>
      <w:r>
        <w:rPr>
          <w:rFonts w:hint="eastAsia" w:hAnsi="宋体" w:cs="宋体"/>
        </w:rPr>
        <w:t>在网箱内起捕时，应先拖拽网衣，将鲢鳙驱赶至网箱一角后，使用抄网将鱼打捞至渔船内</w:t>
      </w:r>
      <w:r>
        <w:rPr>
          <w:rFonts w:hint="eastAsia"/>
        </w:rPr>
        <w:t>。</w:t>
      </w:r>
    </w:p>
    <w:p>
      <w:pPr>
        <w:pStyle w:val="166"/>
      </w:pPr>
      <w:r>
        <w:rPr>
          <w:rFonts w:hint="eastAsia"/>
        </w:rPr>
        <w:t>在网围内起捕时，应先在任意拐角处安放一只网箱，便于集中暂养活鱼；再将无囊围网的网翼沿网围内侧四周布设并逐步缩小包围面积，待鲢鳙被赶至取鱼部后，用抄网打捞至暂养网箱内或渔船内。</w:t>
      </w:r>
    </w:p>
    <w:p>
      <w:pPr>
        <w:pStyle w:val="106"/>
        <w:spacing w:before="156" w:after="156"/>
      </w:pPr>
      <w:r>
        <w:rPr>
          <w:rFonts w:hint="eastAsia"/>
        </w:rPr>
        <w:t>起捕量</w:t>
      </w:r>
    </w:p>
    <w:p>
      <w:pPr>
        <w:pStyle w:val="58"/>
        <w:ind w:firstLine="420"/>
      </w:pPr>
      <w:r>
        <w:rPr>
          <w:rFonts w:hint="eastAsia"/>
        </w:rPr>
        <w:t>应实时关注水位、气温和天气的变化,灵活调整出鱼量，提高鲢鳙成活率。</w:t>
      </w:r>
    </w:p>
    <w:p>
      <w:pPr>
        <w:pStyle w:val="106"/>
        <w:spacing w:before="156" w:after="156"/>
      </w:pPr>
      <w:r>
        <w:rPr>
          <w:rFonts w:hint="eastAsia"/>
        </w:rPr>
        <w:t>现场监管</w:t>
      </w:r>
    </w:p>
    <w:p>
      <w:pPr>
        <w:pStyle w:val="58"/>
        <w:ind w:firstLine="420"/>
      </w:pPr>
      <w:r>
        <w:rPr>
          <w:rFonts w:hint="eastAsia"/>
        </w:rPr>
        <w:t>起捕时应有渔业行政执法人员进行现场监管，预防并依法处置违法捕捞行为。</w:t>
      </w:r>
    </w:p>
    <w:p>
      <w:pPr>
        <w:pStyle w:val="105"/>
        <w:spacing w:before="312" w:after="312"/>
      </w:pPr>
      <w:r>
        <w:rPr>
          <w:rFonts w:hint="eastAsia"/>
        </w:rPr>
        <w:t xml:space="preserve">上岸管理  </w:t>
      </w:r>
    </w:p>
    <w:p>
      <w:pPr>
        <w:pStyle w:val="106"/>
        <w:spacing w:before="156" w:after="156"/>
      </w:pPr>
      <w:r>
        <w:rPr>
          <w:rFonts w:hint="eastAsia"/>
        </w:rPr>
        <w:t>集中上岸点</w:t>
      </w:r>
    </w:p>
    <w:p>
      <w:pPr>
        <w:pStyle w:val="106"/>
        <w:numPr>
          <w:ilvl w:val="3"/>
          <w:numId w:val="33"/>
        </w:numPr>
        <w:spacing w:before="156" w:after="156"/>
      </w:pPr>
      <w:r>
        <w:rPr>
          <w:rFonts w:hint="eastAsia"/>
        </w:rPr>
        <w:t>选址要求</w:t>
      </w:r>
    </w:p>
    <w:p>
      <w:pPr>
        <w:pStyle w:val="58"/>
        <w:ind w:firstLine="420"/>
      </w:pPr>
      <w:r>
        <w:rPr>
          <w:rFonts w:hint="eastAsia" w:hAnsi="宋体" w:cs="宋体"/>
          <w:szCs w:val="21"/>
        </w:rPr>
        <w:t>宜选择地势平坦、交通便捷、利于排水的区域，应避免阻塞交通，远离可能产生各种有毒有害物质的工业企业及其他可能产生污染源的地区或场所。</w:t>
      </w:r>
    </w:p>
    <w:p>
      <w:pPr>
        <w:pStyle w:val="106"/>
        <w:numPr>
          <w:ilvl w:val="3"/>
          <w:numId w:val="33"/>
        </w:numPr>
        <w:spacing w:before="156" w:after="156"/>
      </w:pPr>
      <w:r>
        <w:rPr>
          <w:rFonts w:hint="eastAsia"/>
        </w:rPr>
        <w:t>基础设施</w:t>
      </w:r>
    </w:p>
    <w:p>
      <w:pPr>
        <w:pStyle w:val="165"/>
      </w:pPr>
      <w:r>
        <w:rPr>
          <w:rFonts w:hint="eastAsia"/>
        </w:rPr>
        <w:t>装卸设备运行作业时，对鱼体不应有机械损伤，不应有外溢的油料污染鱼体及水体。</w:t>
      </w:r>
    </w:p>
    <w:p>
      <w:pPr>
        <w:pStyle w:val="165"/>
      </w:pPr>
      <w:r>
        <w:rPr>
          <w:rFonts w:hint="eastAsia"/>
        </w:rPr>
        <w:t>应设有死亡渔获物、污水及废弃物无害化处理设施。</w:t>
      </w:r>
    </w:p>
    <w:p>
      <w:pPr>
        <w:pStyle w:val="165"/>
      </w:pPr>
      <w:r>
        <w:rPr>
          <w:rFonts w:hint="eastAsia"/>
        </w:rPr>
        <w:t>应在码头、道路等重点区域安装视频监控系统，并接入当地渔业行政主管部门的监控系统。</w:t>
      </w:r>
    </w:p>
    <w:p>
      <w:pPr>
        <w:pStyle w:val="106"/>
        <w:spacing w:before="156" w:after="156"/>
      </w:pPr>
      <w:r>
        <w:rPr>
          <w:rFonts w:hint="eastAsia"/>
        </w:rPr>
        <w:t>渔获物</w:t>
      </w:r>
    </w:p>
    <w:p>
      <w:pPr>
        <w:pStyle w:val="166"/>
        <w:rPr>
          <w:rFonts w:hAnsi="宋体" w:cs="宋体"/>
        </w:rPr>
      </w:pPr>
      <w:r>
        <w:rPr>
          <w:rFonts w:hint="eastAsia" w:hAnsi="宋体" w:cs="宋体"/>
        </w:rPr>
        <w:t>起捕的鲢鳙运输至上岸点后，应根据品种、规格、状态，进行挑选和分拣。</w:t>
      </w:r>
    </w:p>
    <w:p>
      <w:pPr>
        <w:pStyle w:val="166"/>
      </w:pPr>
      <w:r>
        <w:rPr>
          <w:rFonts w:hint="eastAsia" w:hAnsi="宋体" w:cs="宋体"/>
        </w:rPr>
        <w:t>活鱼远距离运输应选择载水运输，整个运输时间应控制在5</w:t>
      </w:r>
      <w:r>
        <w:rPr>
          <w:rFonts w:hAnsi="宋体" w:cs="宋体"/>
        </w:rPr>
        <w:t> </w:t>
      </w:r>
      <w:r>
        <w:rPr>
          <w:rFonts w:hint="eastAsia" w:hAnsi="宋体" w:cs="宋体"/>
        </w:rPr>
        <w:t>h以内，活鱼运输管理应符合GB/T 36192的规定</w:t>
      </w:r>
      <w:r>
        <w:rPr>
          <w:rFonts w:hint="eastAsia"/>
        </w:rPr>
        <w:t>。</w:t>
      </w:r>
    </w:p>
    <w:p>
      <w:pPr>
        <w:pStyle w:val="166"/>
      </w:pPr>
      <w:r>
        <w:rPr>
          <w:rFonts w:hint="eastAsia" w:hAnsi="宋体" w:cs="宋体"/>
          <w:szCs w:val="21"/>
        </w:rPr>
        <w:t>需要暂养的活鱼应在洁净、无毒、无异味的水泥池、水族箱等水体中充氧暂养，暂养用水应符合NY 5051的规定。</w:t>
      </w:r>
    </w:p>
    <w:p>
      <w:pPr>
        <w:pStyle w:val="166"/>
        <w:rPr>
          <w:rFonts w:hAnsi="宋体" w:cs="宋体"/>
          <w:szCs w:val="21"/>
        </w:rPr>
      </w:pPr>
      <w:r>
        <w:rPr>
          <w:rFonts w:hint="eastAsia" w:hAnsi="宋体" w:cs="宋体"/>
          <w:szCs w:val="21"/>
        </w:rPr>
        <w:t>若长期</w:t>
      </w:r>
      <w:r>
        <w:rPr>
          <w:rFonts w:hint="eastAsia"/>
        </w:rPr>
        <w:t>存放</w:t>
      </w:r>
      <w:r>
        <w:rPr>
          <w:rFonts w:hint="eastAsia" w:hAnsi="宋体" w:cs="宋体"/>
          <w:szCs w:val="21"/>
        </w:rPr>
        <w:t>，应存放在符合卫生要求和低温要求的冻库（柜）中，物品分垛存放，标识清楚。应设有防霉、防虫、防鼠设施，并定期消毒。</w:t>
      </w:r>
    </w:p>
    <w:p>
      <w:pPr>
        <w:pStyle w:val="106"/>
        <w:spacing w:before="156" w:after="156"/>
      </w:pPr>
      <w:r>
        <w:rPr>
          <w:rFonts w:hint="eastAsia"/>
        </w:rPr>
        <w:t>设备清洗</w:t>
      </w:r>
    </w:p>
    <w:p>
      <w:pPr>
        <w:pStyle w:val="166"/>
        <w:rPr>
          <w:rFonts w:hAnsi="宋体" w:cs="宋体"/>
        </w:rPr>
      </w:pPr>
      <w:r>
        <w:rPr>
          <w:rFonts w:hint="eastAsia" w:hAnsi="宋体" w:cs="宋体"/>
        </w:rPr>
        <w:t>渔船卸载结束后应至集中停靠点，对船舱进行清洗、消毒后集中停靠。</w:t>
      </w:r>
    </w:p>
    <w:p>
      <w:pPr>
        <w:pStyle w:val="166"/>
      </w:pPr>
      <w:r>
        <w:rPr>
          <w:rFonts w:hint="eastAsia" w:hAnsi="宋体" w:cs="宋体"/>
        </w:rPr>
        <w:t>渔具应充分清洗并晾晒，晒干后再打包储存。</w:t>
      </w:r>
    </w:p>
    <w:p>
      <w:pPr>
        <w:pStyle w:val="166"/>
        <w:rPr>
          <w:rFonts w:hAnsi="宋体" w:cs="宋体"/>
        </w:rPr>
      </w:pPr>
      <w:r>
        <w:rPr>
          <w:rFonts w:hint="eastAsia"/>
        </w:rPr>
        <w:t>装卸设备（起舱机、车辆或吸鱼泵等）应保持完好、清洁，每次作业完成后应清洗、消毒后备用。</w:t>
      </w:r>
    </w:p>
    <w:p>
      <w:pPr>
        <w:pStyle w:val="105"/>
        <w:numPr>
          <w:ilvl w:val="1"/>
          <w:numId w:val="33"/>
        </w:numPr>
        <w:spacing w:before="312" w:after="312"/>
      </w:pPr>
      <w:r>
        <w:rPr>
          <w:rFonts w:hint="eastAsia"/>
        </w:rPr>
        <w:t>产品质量管理</w:t>
      </w:r>
    </w:p>
    <w:p>
      <w:pPr>
        <w:pStyle w:val="106"/>
        <w:spacing w:before="156" w:after="156"/>
      </w:pPr>
      <w:bookmarkStart w:id="45" w:name="OLE_LINK2"/>
      <w:bookmarkStart w:id="46" w:name="OLE_LINK1"/>
      <w:r>
        <w:rPr>
          <w:rFonts w:hint="eastAsia"/>
        </w:rPr>
        <w:t>起捕前质量控制</w:t>
      </w:r>
      <w:bookmarkEnd w:id="45"/>
      <w:bookmarkEnd w:id="46"/>
    </w:p>
    <w:p>
      <w:pPr>
        <w:pStyle w:val="58"/>
        <w:ind w:firstLine="420"/>
      </w:pPr>
      <w:r>
        <w:rPr>
          <w:rFonts w:hint="eastAsia"/>
        </w:rPr>
        <w:t>报备起捕的鲢鳙应当符合水产品质量安全标准；养殖业主应根据质量安全控制要求自行或委托检测机构对水产品质量安全进行检测；经检测不符合水产品质量安全标准的，应当及时采取管控措施，不得起捕。</w:t>
      </w:r>
    </w:p>
    <w:p>
      <w:pPr>
        <w:pStyle w:val="106"/>
        <w:spacing w:before="156" w:after="156"/>
      </w:pPr>
      <w:bookmarkStart w:id="47" w:name="OLE_LINK3"/>
      <w:r>
        <w:rPr>
          <w:rFonts w:hint="eastAsia"/>
        </w:rPr>
        <w:t>起捕后</w:t>
      </w:r>
      <w:bookmarkEnd w:id="47"/>
      <w:r>
        <w:rPr>
          <w:rFonts w:hint="eastAsia"/>
        </w:rPr>
        <w:t>质量控制</w:t>
      </w:r>
    </w:p>
    <w:p>
      <w:pPr>
        <w:pStyle w:val="58"/>
        <w:ind w:firstLine="420"/>
      </w:pPr>
      <w:r>
        <w:rPr>
          <w:rFonts w:hint="eastAsia"/>
        </w:rPr>
        <w:t>起捕后的鲢鳙在保鲜、储存、运输中使用保鲜剂、防腐剂、添加剂等，应当符合国家有关强制性标准以及其他水产品质量安全规定。储存、运输鲢鳙的容器、工具和设备应当安全、无害。</w:t>
      </w:r>
    </w:p>
    <w:p>
      <w:pPr>
        <w:pStyle w:val="106"/>
        <w:spacing w:before="156" w:after="156"/>
      </w:pPr>
      <w:r>
        <w:rPr>
          <w:rFonts w:hint="eastAsia"/>
        </w:rPr>
        <w:t>承诺达标合格证管理</w:t>
      </w:r>
    </w:p>
    <w:p>
      <w:pPr>
        <w:pStyle w:val="166"/>
        <w:rPr>
          <w:rFonts w:hAnsi="宋体" w:cs="宋体"/>
        </w:rPr>
      </w:pPr>
      <w:r>
        <w:rPr>
          <w:rFonts w:hint="eastAsia" w:hAnsi="宋体" w:cs="宋体"/>
        </w:rPr>
        <w:t>养殖业主应保证其起捕销售的鲢鳙符合水产品质量安全标准，并根据质量安全控制、检测结果等开具承诺达标合格证。</w:t>
      </w:r>
    </w:p>
    <w:p>
      <w:pPr>
        <w:pStyle w:val="166"/>
        <w:rPr>
          <w:rFonts w:hAnsi="宋体" w:cs="宋体"/>
        </w:rPr>
      </w:pPr>
      <w:r>
        <w:rPr>
          <w:rFonts w:hint="eastAsia" w:hAnsi="宋体" w:cs="宋体"/>
        </w:rPr>
        <w:t>收购单位或个人应规范收取、保存和查验承诺达标合格证，对收购的水产品进行混装或者分装后销售的，应以销售者名义重新开具承诺达标合格证。</w:t>
      </w:r>
    </w:p>
    <w:p>
      <w:pPr>
        <w:pStyle w:val="106"/>
        <w:numPr>
          <w:ilvl w:val="2"/>
          <w:numId w:val="33"/>
        </w:numPr>
        <w:spacing w:before="156" w:after="156"/>
      </w:pPr>
      <w:r>
        <w:rPr>
          <w:rFonts w:hint="eastAsia"/>
        </w:rPr>
        <w:t>追溯标签管理</w:t>
      </w:r>
    </w:p>
    <w:p>
      <w:pPr>
        <w:pStyle w:val="58"/>
        <w:ind w:firstLine="420"/>
      </w:pPr>
      <w:r>
        <w:rPr>
          <w:rFonts w:hint="eastAsia"/>
        </w:rPr>
        <w:t>鼓励养殖业主在承诺达标合格证上加挂水产品可追溯标签，标签的内容、参数、材质、印制与使用等应符合SC/T 3043要求。</w:t>
      </w:r>
    </w:p>
    <w:p>
      <w:pPr>
        <w:pStyle w:val="105"/>
        <w:numPr>
          <w:ilvl w:val="1"/>
          <w:numId w:val="33"/>
        </w:numPr>
        <w:spacing w:before="312" w:after="312"/>
      </w:pPr>
      <w:r>
        <w:rPr>
          <w:rFonts w:hint="eastAsia"/>
        </w:rPr>
        <w:t>记录和评估</w:t>
      </w:r>
    </w:p>
    <w:p>
      <w:pPr>
        <w:pStyle w:val="106"/>
        <w:numPr>
          <w:ilvl w:val="2"/>
          <w:numId w:val="33"/>
        </w:numPr>
        <w:spacing w:before="156" w:after="156"/>
      </w:pPr>
      <w:r>
        <w:rPr>
          <w:rFonts w:hint="eastAsia"/>
        </w:rPr>
        <w:t>记录报送</w:t>
      </w:r>
    </w:p>
    <w:p>
      <w:pPr>
        <w:pStyle w:val="58"/>
        <w:ind w:firstLine="420"/>
      </w:pPr>
      <w:r>
        <w:rPr>
          <w:rFonts w:hint="eastAsia"/>
        </w:rPr>
        <w:t>养殖业主应及时真实记录渔获量、留存量、销售记录、质量安全等情况，并报送至渔业行政主管部门存档，档案管理和使用应符合GB/T 42478要求。</w:t>
      </w:r>
    </w:p>
    <w:p>
      <w:pPr>
        <w:pStyle w:val="106"/>
        <w:numPr>
          <w:ilvl w:val="2"/>
          <w:numId w:val="33"/>
        </w:numPr>
        <w:spacing w:before="156" w:after="156"/>
      </w:pPr>
      <w:bookmarkStart w:id="48" w:name="_Toc27840"/>
      <w:bookmarkStart w:id="49" w:name="_Toc30182"/>
      <w:bookmarkStart w:id="50" w:name="_Toc8950"/>
      <w:r>
        <w:rPr>
          <w:rFonts w:hint="eastAsia"/>
        </w:rPr>
        <w:t>生态评估</w:t>
      </w:r>
    </w:p>
    <w:p>
      <w:pPr>
        <w:pStyle w:val="233"/>
        <w:numPr>
          <w:ilvl w:val="0"/>
          <w:numId w:val="0"/>
        </w:numPr>
        <w:ind w:firstLine="420" w:firstLineChars="200"/>
        <w:rPr>
          <w:rFonts w:ascii="宋体" w:hAnsi="宋体" w:eastAsia="宋体" w:cs="宋体"/>
        </w:rPr>
      </w:pPr>
      <w:r>
        <w:rPr>
          <w:rFonts w:hint="eastAsia" w:ascii="宋体" w:hAnsi="宋体" w:eastAsia="宋体" w:cs="宋体"/>
        </w:rPr>
        <w:t>渔业行政主管部门应委托科研单位对当年起捕鲢鳙产生的生态效益情况进行评估，指导下一年度生态养殖管理工作。</w:t>
      </w:r>
      <w:bookmarkEnd w:id="48"/>
      <w:bookmarkEnd w:id="49"/>
      <w:bookmarkEnd w:id="50"/>
    </w:p>
    <w:bookmarkEnd w:id="21"/>
    <w:p>
      <w:pPr>
        <w:pStyle w:val="198"/>
        <w:rPr>
          <w:vanish w:val="0"/>
        </w:rPr>
      </w:pPr>
      <w:bookmarkStart w:id="51" w:name="BookMark5"/>
    </w:p>
    <w:p>
      <w:pPr>
        <w:pStyle w:val="199"/>
        <w:rPr>
          <w:vanish w:val="0"/>
        </w:rPr>
      </w:pPr>
    </w:p>
    <w:bookmarkEnd w:id="51"/>
    <w:p>
      <w:pPr>
        <w:pStyle w:val="58"/>
        <w:ind w:firstLine="0" w:firstLineChars="0"/>
        <w:jc w:val="center"/>
      </w:pPr>
      <w:bookmarkStart w:id="52" w:name="BookMark8"/>
      <w:r>
        <w:drawing>
          <wp:inline distT="0" distB="0" distL="114300" distR="114300">
            <wp:extent cx="1485900" cy="317500"/>
            <wp:effectExtent l="0" t="0" r="0" b="6350"/>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21"/>
                    <a:stretch>
                      <a:fillRect/>
                    </a:stretch>
                  </pic:blipFill>
                  <pic:spPr>
                    <a:xfrm>
                      <a:off x="0" y="0"/>
                      <a:ext cx="1485900" cy="317500"/>
                    </a:xfrm>
                    <a:prstGeom prst="rect">
                      <a:avLst/>
                    </a:prstGeom>
                    <a:noFill/>
                    <a:ln>
                      <a:noFill/>
                    </a:ln>
                  </pic:spPr>
                </pic:pic>
              </a:graphicData>
            </a:graphic>
          </wp:inline>
        </w:drawing>
      </w:r>
      <w:bookmarkEnd w:id="52"/>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3213/T 1077—2025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3213/T 1077—2025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3213/T 1077—2025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3213/T 1077—2025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hAnsi="等线" w:eastAsia="黑体"/>
        <w:b w:val="0"/>
        <w:i w:val="0"/>
        <w:sz w:val="21"/>
      </w:rPr>
    </w:lvl>
    <w:lvl w:ilvl="2" w:tentative="0">
      <w:start w:val="1"/>
      <w:numFmt w:val="decimal"/>
      <w:pStyle w:val="201"/>
      <w:suff w:val="nothing"/>
      <w:lvlText w:val="%10.%2.%3 "/>
      <w:lvlJc w:val="left"/>
      <w:pPr>
        <w:ind w:left="0" w:firstLine="0"/>
      </w:pPr>
      <w:rPr>
        <w:rFonts w:hint="eastAsia" w:ascii="黑体" w:hAnsi="等线" w:eastAsia="黑体"/>
        <w:b w:val="0"/>
        <w:i w:val="0"/>
        <w:sz w:val="21"/>
      </w:rPr>
    </w:lvl>
    <w:lvl w:ilvl="3" w:tentative="0">
      <w:start w:val="1"/>
      <w:numFmt w:val="decimal"/>
      <w:pStyle w:val="202"/>
      <w:suff w:val="nothing"/>
      <w:lvlText w:val="%10.%2.%3.%4 "/>
      <w:lvlJc w:val="left"/>
      <w:pPr>
        <w:ind w:left="0" w:firstLine="0"/>
      </w:pPr>
      <w:rPr>
        <w:rFonts w:hint="eastAsia" w:ascii="黑体" w:hAnsi="等线" w:eastAsia="黑体"/>
        <w:b w:val="0"/>
        <w:i w:val="0"/>
        <w:sz w:val="21"/>
      </w:rPr>
    </w:lvl>
    <w:lvl w:ilvl="4" w:tentative="0">
      <w:start w:val="1"/>
      <w:numFmt w:val="decimal"/>
      <w:pStyle w:val="203"/>
      <w:suff w:val="nothing"/>
      <w:lvlText w:val="%10.%2.%3.%4.%5 "/>
      <w:lvlJc w:val="left"/>
      <w:pPr>
        <w:ind w:left="0" w:firstLine="0"/>
      </w:pPr>
      <w:rPr>
        <w:rFonts w:hint="eastAsia" w:ascii="黑体" w:hAnsi="等线" w:eastAsia="黑体"/>
        <w:b w:val="0"/>
        <w:i w:val="0"/>
        <w:sz w:val="21"/>
      </w:rPr>
    </w:lvl>
    <w:lvl w:ilvl="5" w:tentative="0">
      <w:start w:val="1"/>
      <w:numFmt w:val="decimal"/>
      <w:pStyle w:val="204"/>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6"/>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23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uJAgULkB6EjtLYU0rfgLZ0X91h0=" w:salt="amPhxeSd+6ecOj5TPGRE5A=="/>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Yzg2M2Y4MzlhYTBjN2IwMWMwZThkYTkwNzMxNjEifQ=="/>
  </w:docVars>
  <w:rsids>
    <w:rsidRoot w:val="00C911B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EF3"/>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921"/>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AE3"/>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477"/>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A52"/>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A38"/>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A08"/>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7F6"/>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4309"/>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D7847"/>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535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27C"/>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7FE"/>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7850"/>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11B1"/>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DCE"/>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2FCD"/>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746082"/>
    <w:rsid w:val="03B215A7"/>
    <w:rsid w:val="15BD3ECB"/>
    <w:rsid w:val="1FA756B5"/>
    <w:rsid w:val="20AA48E1"/>
    <w:rsid w:val="23F02AE0"/>
    <w:rsid w:val="2A9845F0"/>
    <w:rsid w:val="36E3011C"/>
    <w:rsid w:val="400E355B"/>
    <w:rsid w:val="41C90C92"/>
    <w:rsid w:val="4D7E1A29"/>
    <w:rsid w:val="516C5BA3"/>
    <w:rsid w:val="528962C9"/>
    <w:rsid w:val="56502074"/>
    <w:rsid w:val="587F5245"/>
    <w:rsid w:val="58AA0C62"/>
    <w:rsid w:val="59497D5E"/>
    <w:rsid w:val="5B2D1B61"/>
    <w:rsid w:val="63E1201A"/>
    <w:rsid w:val="655E715B"/>
    <w:rsid w:val="73932705"/>
    <w:rsid w:val="7BAE4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43"/>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4"/>
    <w:autoRedefine/>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6"/>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47"/>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正文文本 Char"/>
    <w:link w:val="13"/>
    <w:autoRedefine/>
    <w:qFormat/>
    <w:uiPriority w:val="0"/>
    <w:rPr>
      <w:kern w:val="2"/>
      <w:sz w:val="21"/>
      <w:szCs w:val="21"/>
    </w:rPr>
  </w:style>
  <w:style w:type="character" w:customStyle="1" w:styleId="44">
    <w:name w:val="批注框文本 Char"/>
    <w:link w:val="16"/>
    <w:autoRedefine/>
    <w:semiHidden/>
    <w:qFormat/>
    <w:uiPriority w:val="99"/>
    <w:rPr>
      <w:kern w:val="2"/>
      <w:sz w:val="18"/>
      <w:szCs w:val="18"/>
    </w:rPr>
  </w:style>
  <w:style w:type="character" w:customStyle="1" w:styleId="45">
    <w:name w:val="页脚 Char"/>
    <w:link w:val="17"/>
    <w:autoRedefine/>
    <w:qFormat/>
    <w:uiPriority w:val="99"/>
    <w:rPr>
      <w:rFonts w:ascii="宋体"/>
      <w:kern w:val="2"/>
      <w:sz w:val="18"/>
      <w:szCs w:val="18"/>
    </w:rPr>
  </w:style>
  <w:style w:type="character" w:customStyle="1" w:styleId="46">
    <w:name w:val="页眉 Char"/>
    <w:link w:val="18"/>
    <w:autoRedefine/>
    <w:qFormat/>
    <w:uiPriority w:val="99"/>
    <w:rPr>
      <w:kern w:val="2"/>
      <w:sz w:val="18"/>
      <w:szCs w:val="18"/>
    </w:rPr>
  </w:style>
  <w:style w:type="character" w:customStyle="1" w:styleId="47">
    <w:name w:val="脚注文本 Char"/>
    <w:link w:val="21"/>
    <w:autoRedefine/>
    <w:semiHidden/>
    <w:qFormat/>
    <w:uiPriority w:val="0"/>
    <w:rPr>
      <w:rFonts w:ascii="宋体"/>
      <w:kern w:val="2"/>
      <w:sz w:val="18"/>
      <w:szCs w:val="18"/>
    </w:rPr>
  </w:style>
  <w:style w:type="character" w:customStyle="1" w:styleId="48">
    <w:name w:val="标题 Char"/>
    <w:link w:val="25"/>
    <w:autoRedefine/>
    <w:qFormat/>
    <w:uiPriority w:val="0"/>
    <w:rPr>
      <w:rFonts w:ascii="Arial" w:hAnsi="Arial" w:cs="Arial"/>
      <w:b/>
      <w:bCs/>
      <w:kern w:val="2"/>
      <w:sz w:val="32"/>
      <w:szCs w:val="32"/>
    </w:rPr>
  </w:style>
  <w:style w:type="paragraph" w:styleId="49">
    <w:name w:val="Quote"/>
    <w:basedOn w:val="1"/>
    <w:next w:val="1"/>
    <w:link w:val="50"/>
    <w:autoRedefine/>
    <w:qFormat/>
    <w:uiPriority w:val="29"/>
    <w:rPr>
      <w:i/>
      <w:iCs/>
      <w:color w:val="000000"/>
    </w:rPr>
  </w:style>
  <w:style w:type="character" w:customStyle="1" w:styleId="50">
    <w:name w:val="引用 Char"/>
    <w:link w:val="49"/>
    <w:autoRedefine/>
    <w:qFormat/>
    <w:uiPriority w:val="29"/>
    <w:rPr>
      <w:i/>
      <w:iCs/>
      <w:color w:val="000000"/>
      <w:kern w:val="2"/>
      <w:sz w:val="21"/>
      <w:szCs w:val="21"/>
    </w:rPr>
  </w:style>
  <w:style w:type="paragraph" w:customStyle="1" w:styleId="5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autoRedefine/>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5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9">
    <w:name w:val="标准文件_段 Char"/>
    <w:link w:val="58"/>
    <w:autoRedefine/>
    <w:qFormat/>
    <w:uiPriority w:val="0"/>
    <w:rPr>
      <w:rFonts w:ascii="宋体" w:hAnsi="Times New Roman"/>
      <w:sz w:val="21"/>
    </w:rPr>
  </w:style>
  <w:style w:type="paragraph" w:customStyle="1" w:styleId="60">
    <w:name w:val="标准文件_版本"/>
    <w:basedOn w:val="57"/>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8"/>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8"/>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8"/>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8"/>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8"/>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8"/>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8"/>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8"/>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8"/>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8"/>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89">
    <w:name w:val="标准文件_附录章标题"/>
    <w:next w:val="5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autoRedefine/>
    <w:qFormat/>
    <w:uiPriority w:val="0"/>
    <w:pPr>
      <w:ind w:left="488" w:leftChars="200" w:hanging="289" w:hangingChars="290"/>
    </w:pPr>
  </w:style>
  <w:style w:type="paragraph" w:customStyle="1" w:styleId="91">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autoRedefine/>
    <w:qFormat/>
    <w:uiPriority w:val="0"/>
    <w:pPr>
      <w:spacing w:line="460" w:lineRule="exact"/>
      <w:ind w:left="0" w:firstLine="0"/>
    </w:pPr>
  </w:style>
  <w:style w:type="paragraph" w:customStyle="1" w:styleId="93">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4">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autoRedefine/>
    <w:qFormat/>
    <w:uiPriority w:val="0"/>
    <w:pPr>
      <w:numPr>
        <w:numId w:val="10"/>
      </w:numPr>
    </w:pPr>
  </w:style>
  <w:style w:type="paragraph" w:customStyle="1" w:styleId="96">
    <w:name w:val="标准文件_三级条标题"/>
    <w:basedOn w:val="68"/>
    <w:next w:val="58"/>
    <w:autoRedefine/>
    <w:qFormat/>
    <w:uiPriority w:val="0"/>
    <w:pPr>
      <w:widowControl/>
      <w:numPr>
        <w:ilvl w:val="4"/>
      </w:numPr>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autoRedefine/>
    <w:qFormat/>
    <w:uiPriority w:val="0"/>
    <w:pPr>
      <w:adjustRightInd/>
      <w:spacing w:line="240" w:lineRule="auto"/>
      <w:ind w:firstLine="200" w:firstLineChars="200"/>
    </w:pPr>
    <w:rPr>
      <w:sz w:val="18"/>
      <w:szCs w:val="24"/>
    </w:rPr>
  </w:style>
  <w:style w:type="paragraph" w:customStyle="1" w:styleId="99">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01">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8"/>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8"/>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8"/>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8"/>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8"/>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8"/>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8"/>
    <w:autoRedefine/>
    <w:qFormat/>
    <w:uiPriority w:val="0"/>
    <w:pPr>
      <w:outlineLvl w:val="4"/>
    </w:pPr>
  </w:style>
  <w:style w:type="paragraph" w:customStyle="1" w:styleId="131">
    <w:name w:val="附录四级无标题条"/>
    <w:basedOn w:val="130"/>
    <w:next w:val="58"/>
    <w:autoRedefine/>
    <w:qFormat/>
    <w:uiPriority w:val="0"/>
    <w:pPr>
      <w:outlineLvl w:val="5"/>
    </w:pPr>
  </w:style>
  <w:style w:type="paragraph" w:customStyle="1" w:styleId="132">
    <w:name w:val="附录图"/>
    <w:next w:val="58"/>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8"/>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9"/>
    <w:next w:val="58"/>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8"/>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8"/>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6"/>
    <w:autoRedefine/>
    <w:qFormat/>
    <w:uiPriority w:val="0"/>
    <w:pPr>
      <w:spacing w:before="0" w:beforeLines="0" w:after="0" w:afterLines="0"/>
      <w:outlineLvl w:val="9"/>
    </w:pPr>
    <w:rPr>
      <w:rFonts w:ascii="宋体" w:eastAsia="宋体"/>
    </w:rPr>
  </w:style>
  <w:style w:type="paragraph" w:customStyle="1" w:styleId="166">
    <w:name w:val="标准文件_二级无标题"/>
    <w:basedOn w:val="68"/>
    <w:autoRedefine/>
    <w:qFormat/>
    <w:uiPriority w:val="0"/>
    <w:pPr>
      <w:spacing w:before="0" w:beforeLines="0" w:after="0" w:afterLines="0"/>
      <w:outlineLvl w:val="9"/>
    </w:pPr>
    <w:rPr>
      <w:rFonts w:ascii="宋体" w:eastAsia="宋体"/>
    </w:rPr>
  </w:style>
  <w:style w:type="paragraph" w:customStyle="1" w:styleId="167">
    <w:name w:val="标准_四级无标题"/>
    <w:basedOn w:val="100"/>
    <w:next w:val="58"/>
    <w:autoRedefine/>
    <w:qFormat/>
    <w:uiPriority w:val="0"/>
    <w:rPr>
      <w:rFonts w:eastAsia="宋体"/>
    </w:rPr>
  </w:style>
  <w:style w:type="paragraph" w:customStyle="1" w:styleId="168">
    <w:name w:val="标准文件_四级无标题"/>
    <w:basedOn w:val="100"/>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8"/>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8"/>
    <w:autoRedefine/>
    <w:qFormat/>
    <w:uiPriority w:val="0"/>
    <w:pPr>
      <w:numPr>
        <w:ilvl w:val="0"/>
        <w:numId w:val="24"/>
      </w:numPr>
      <w:ind w:firstLine="0" w:firstLineChars="0"/>
    </w:pPr>
    <w:rPr>
      <w:rFonts w:cs="Arial"/>
      <w:szCs w:val="28"/>
    </w:rPr>
  </w:style>
  <w:style w:type="paragraph" w:customStyle="1" w:styleId="171">
    <w:name w:val="标准文件_附录标题"/>
    <w:basedOn w:val="79"/>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300" w:lineRule="exact"/>
    </w:pPr>
    <w:rPr>
      <w:rFonts w:ascii="Times New Roman" w:hAnsi="Times New Roman"/>
    </w:rPr>
  </w:style>
  <w:style w:type="paragraph" w:customStyle="1" w:styleId="174">
    <w:name w:val="图表脚注说明"/>
    <w:basedOn w:val="1"/>
    <w:next w:val="58"/>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tabs>
        <w:tab w:val="left" w:pos="851"/>
      </w:tabs>
      <w:ind w:left="851" w:hanging="426"/>
      <w:jc w:val="both"/>
    </w:pPr>
    <w:rPr>
      <w:rFonts w:ascii="宋体" w:hAnsi="Times New Roman" w:eastAsia="宋体" w:cs="Times New Roman"/>
      <w:sz w:val="21"/>
      <w:lang w:val="en-US" w:eastAsia="zh-CN" w:bidi="ar-SA"/>
    </w:rPr>
  </w:style>
  <w:style w:type="paragraph" w:customStyle="1" w:styleId="176">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8"/>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8"/>
    <w:autoRedefine/>
    <w:qFormat/>
    <w:uiPriority w:val="0"/>
    <w:pPr>
      <w:ind w:firstLine="0" w:firstLineChars="0"/>
      <w:jc w:val="center"/>
    </w:pPr>
    <w:rPr>
      <w:sz w:val="18"/>
    </w:rPr>
  </w:style>
  <w:style w:type="paragraph" w:customStyle="1" w:styleId="180">
    <w:name w:val="标准文件_注："/>
    <w:next w:val="58"/>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8"/>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5">
    <w:name w:val="标准文件_表格续"/>
    <w:basedOn w:val="58"/>
    <w:next w:val="58"/>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8"/>
    <w:autoRedefine/>
    <w:qFormat/>
    <w:uiPriority w:val="0"/>
    <w:pPr>
      <w:numPr>
        <w:ilvl w:val="1"/>
        <w:numId w:val="21"/>
      </w:numPr>
      <w:ind w:firstLine="0" w:firstLineChars="0"/>
    </w:pPr>
  </w:style>
  <w:style w:type="paragraph" w:customStyle="1" w:styleId="188">
    <w:name w:val="标准文件_三级项2"/>
    <w:basedOn w:val="58"/>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8"/>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8"/>
    <w:next w:val="58"/>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1"/>
    <w:autoRedefine/>
    <w:qFormat/>
    <w:uiPriority w:val="0"/>
    <w:pPr>
      <w:framePr w:w="3997" w:h="471" w:hRule="exact" w:hSpace="0" w:vSpace="181" w:wrap="around" w:vAnchor="page" w:hAnchor="page" w:x="1419" w:y="14097"/>
    </w:pPr>
  </w:style>
  <w:style w:type="paragraph" w:customStyle="1" w:styleId="194">
    <w:name w:val="其他实施日期"/>
    <w:basedOn w:val="155"/>
    <w:autoRedefine/>
    <w:qFormat/>
    <w:uiPriority w:val="0"/>
    <w:pPr>
      <w:framePr w:w="3997" w:h="471" w:hRule="exact" w:vSpace="181" w:wrap="around" w:vAnchor="page" w:hAnchor="page" w:x="7089" w:y="14097"/>
    </w:pPr>
  </w:style>
  <w:style w:type="paragraph" w:customStyle="1" w:styleId="195">
    <w:name w:val="标准文件_文件编号"/>
    <w:basedOn w:val="5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8"/>
    <w:next w:val="58"/>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8"/>
    <w:next w:val="58"/>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8"/>
    <w:next w:val="58"/>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8"/>
    <w:next w:val="58"/>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8"/>
    <w:next w:val="58"/>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8"/>
    <w:next w:val="58"/>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8"/>
    <w:next w:val="58"/>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8"/>
    <w:next w:val="58"/>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8"/>
    <w:autoRedefine/>
    <w:qFormat/>
    <w:uiPriority w:val="0"/>
    <w:pPr>
      <w:ind w:left="811" w:firstLine="0" w:firstLineChars="0"/>
    </w:pPr>
    <w:rPr>
      <w:sz w:val="18"/>
    </w:rPr>
  </w:style>
  <w:style w:type="paragraph" w:customStyle="1" w:styleId="206">
    <w:name w:val="标准文件_注X后"/>
    <w:basedOn w:val="58"/>
    <w:autoRedefine/>
    <w:qFormat/>
    <w:uiPriority w:val="0"/>
    <w:pPr>
      <w:ind w:left="811" w:firstLine="0" w:firstLineChars="0"/>
    </w:pPr>
    <w:rPr>
      <w:sz w:val="18"/>
    </w:rPr>
  </w:style>
  <w:style w:type="paragraph" w:customStyle="1" w:styleId="207">
    <w:name w:val="标准文件_示例后"/>
    <w:basedOn w:val="58"/>
    <w:autoRedefine/>
    <w:qFormat/>
    <w:uiPriority w:val="0"/>
    <w:pPr>
      <w:ind w:left="964" w:firstLine="0" w:firstLineChars="0"/>
    </w:pPr>
    <w:rPr>
      <w:sz w:val="18"/>
    </w:rPr>
  </w:style>
  <w:style w:type="paragraph" w:customStyle="1" w:styleId="208">
    <w:name w:val="标准文件_示例X后"/>
    <w:basedOn w:val="58"/>
    <w:link w:val="209"/>
    <w:autoRedefine/>
    <w:qFormat/>
    <w:uiPriority w:val="0"/>
    <w:pPr>
      <w:ind w:left="1049" w:firstLine="0" w:firstLineChars="0"/>
    </w:pPr>
    <w:rPr>
      <w:sz w:val="18"/>
    </w:rPr>
  </w:style>
  <w:style w:type="character" w:customStyle="1" w:styleId="209">
    <w:name w:val="标准文件_示例X后 字符"/>
    <w:basedOn w:val="59"/>
    <w:link w:val="208"/>
    <w:autoRedefine/>
    <w:qFormat/>
    <w:uiPriority w:val="0"/>
    <w:rPr>
      <w:rFonts w:ascii="宋体" w:hAnsi="Times New Roman"/>
      <w:sz w:val="18"/>
    </w:rPr>
  </w:style>
  <w:style w:type="paragraph" w:customStyle="1" w:styleId="210">
    <w:name w:val="标准文件_索引项"/>
    <w:basedOn w:val="58"/>
    <w:next w:val="58"/>
    <w:autoRedefine/>
    <w:qFormat/>
    <w:uiPriority w:val="0"/>
    <w:pPr>
      <w:tabs>
        <w:tab w:val="right" w:leader="dot" w:pos="9356"/>
      </w:tabs>
      <w:ind w:left="210" w:hanging="210" w:firstLineChars="0"/>
      <w:jc w:val="left"/>
    </w:pPr>
  </w:style>
  <w:style w:type="paragraph" w:customStyle="1" w:styleId="211">
    <w:name w:val="标准文件_附录一级无标题"/>
    <w:basedOn w:val="81"/>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4"/>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7"/>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8"/>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8"/>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8"/>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8"/>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6"/>
    <w:next w:val="58"/>
    <w:autoRedefine/>
    <w:qFormat/>
    <w:uiPriority w:val="0"/>
    <w:rPr>
      <w:rFonts w:hAnsi="黑体"/>
    </w:rPr>
  </w:style>
  <w:style w:type="paragraph" w:customStyle="1" w:styleId="222">
    <w:name w:val="标准文件_脚注内容"/>
    <w:basedOn w:val="58"/>
    <w:autoRedefine/>
    <w:qFormat/>
    <w:uiPriority w:val="0"/>
    <w:pPr>
      <w:ind w:left="400" w:leftChars="200" w:hanging="200" w:hangingChars="200"/>
    </w:pPr>
    <w:rPr>
      <w:sz w:val="15"/>
    </w:rPr>
  </w:style>
  <w:style w:type="paragraph" w:customStyle="1" w:styleId="223">
    <w:name w:val="标准文件_术语条一"/>
    <w:basedOn w:val="163"/>
    <w:next w:val="58"/>
    <w:autoRedefine/>
    <w:qFormat/>
    <w:uiPriority w:val="0"/>
  </w:style>
  <w:style w:type="paragraph" w:customStyle="1" w:styleId="224">
    <w:name w:val="标准文件_术语条二"/>
    <w:basedOn w:val="166"/>
    <w:next w:val="58"/>
    <w:autoRedefine/>
    <w:qFormat/>
    <w:uiPriority w:val="0"/>
  </w:style>
  <w:style w:type="paragraph" w:customStyle="1" w:styleId="225">
    <w:name w:val="标准文件_术语条三"/>
    <w:basedOn w:val="165"/>
    <w:next w:val="58"/>
    <w:autoRedefine/>
    <w:qFormat/>
    <w:uiPriority w:val="0"/>
  </w:style>
  <w:style w:type="paragraph" w:customStyle="1" w:styleId="226">
    <w:name w:val="标准文件_术语条四"/>
    <w:basedOn w:val="168"/>
    <w:next w:val="58"/>
    <w:autoRedefine/>
    <w:qFormat/>
    <w:uiPriority w:val="0"/>
  </w:style>
  <w:style w:type="paragraph" w:customStyle="1" w:styleId="227">
    <w:name w:val="标准文件_术语条五"/>
    <w:basedOn w:val="164"/>
    <w:next w:val="58"/>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1">
    <w:name w:val="目次、标准名称标题"/>
    <w:basedOn w:val="1"/>
    <w:next w:val="230"/>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2">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3">
    <w:name w:val="一级条标题"/>
    <w:next w:val="230"/>
    <w:autoRedefine/>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4">
    <w:name w:val="章标题"/>
    <w:next w:val="230"/>
    <w:autoRedefine/>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5">
    <w:name w:val="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236">
    <w:name w:val="二级条标题"/>
    <w:basedOn w:val="233"/>
    <w:next w:val="230"/>
    <w:autoRedefine/>
    <w:qFormat/>
    <w:uiPriority w:val="0"/>
    <w:pPr>
      <w:numPr>
        <w:ilvl w:val="2"/>
      </w:numPr>
      <w:spacing w:before="50" w:after="50"/>
      <w:outlineLvl w:val="3"/>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447</Words>
  <Characters>2552</Characters>
  <Lines>21</Lines>
  <Paragraphs>5</Paragraphs>
  <TotalTime>119</TotalTime>
  <ScaleCrop>false</ScaleCrop>
  <LinksUpToDate>false</LinksUpToDate>
  <CharactersWithSpaces>2994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2024-11-26T13:20:00Z</dcterms:created>
  <dc:creator>123</dc:creator>
  <dc:description>&lt;config cover="true" show_menu="true" version="1.0.0" doctype="SDKXY"&gt;_x000d_
&lt;/config&gt;</dc:description>
  <cp:lastModifiedBy>Administrator</cp:lastModifiedBy>
  <cp:lastPrinted>2020-08-30T10:00:00Z</cp:lastPrinted>
  <dcterms:modified xsi:type="dcterms:W3CDTF">2025-03-27T07:54:28Z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753DA06650314F549DF44F24B5502067_13</vt:lpwstr>
  </property>
  <property fmtid="{D5CDD505-2E9C-101B-9397-08002B2CF9AE}" pid="17" name="KSOTemplateDocerSaveRecord">
    <vt:lpwstr>eyJoZGlkIjoiYmRiOTc0ZGE5YmY5OThiMDgxYWEwYjgzZjI2MGNkZDYiLCJ1c2VySWQiOiI0MzU5MjM4MjMifQ==</vt:lpwstr>
  </property>
</Properties>
</file>